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88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124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794" w:val="left"/>
        </w:tabs>
        <w:bidi w:val="0"/>
        <w:spacing w:before="0" w:after="360" w:line="221" w:lineRule="auto"/>
        <w:ind w:left="1700" w:right="0" w:hanging="17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"МРЦПКСЗ" </w:t>
      </w: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Лечебное дело (31.02.01)</w:t>
      </w:r>
    </w:p>
    <w:tbl>
      <w:tblPr>
        <w:tblOverlap w:val="never"/>
        <w:jc w:val="center"/>
        <w:tblLayout w:type="fixed"/>
      </w:tblPr>
      <w:tblGrid>
        <w:gridCol w:w="3106"/>
        <w:gridCol w:w="763"/>
        <w:gridCol w:w="683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Председательствовал: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Д. М.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Катаев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Д. В.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Пиянзин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Члены подкомиссии: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Л. А. Мирошкина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Н. А. Буянова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А. В. Карманов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Д. М. Катаев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Н. В. Литяйкина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О. Ф. Ремнева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 Г. Шишуркина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Дачаев Магомед-Али Таусович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Лечебное дело (31.02.01)</w:t>
            </w: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Д. М. Катаев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А. Мирошкина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32" w:right="595" w:bottom="574" w:left="562" w:header="10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12700</wp:posOffset>
                </wp:positionV>
                <wp:extent cx="1005840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Д. В. Пиянзин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6.5pt;margin-top:1.pt;width:79.200000000000003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Д. В. Пиянзин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7"/>
        <w:keepNext w:val="0"/>
        <w:keepLines w:val="0"/>
        <w:framePr w:w="658" w:h="206" w:wrap="none" w:vAnchor="text" w:hAnchor="page" w:x="48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7"/>
        <w:keepNext w:val="0"/>
        <w:keepLines w:val="0"/>
        <w:framePr w:w="1046" w:h="206" w:wrap="none" w:vAnchor="text" w:hAnchor="page" w:x="84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widowControl w:val="0"/>
        <w:spacing w:after="2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2" w:right="595" w:bottom="400" w:left="5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10391775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8.2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2">
    <w:name w:val="Другое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Основной текст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spacing w:after="180" w:line="230" w:lineRule="auto"/>
      <w:ind w:left="850" w:hanging="8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