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3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22.07.2024, ГАОУДПО Республики Мордовия</w:t>
        <w:tab/>
        <w:t>24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"МРЦПКСЗ"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95" w:val="left"/>
        </w:tabs>
        <w:bidi w:val="0"/>
        <w:spacing w:before="0" w:after="32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Бактериология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8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Л. В. Нарваткина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Т К. Минеева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М. В. Загрядская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Т И. Инжуткина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Т К. Минеева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Л. В. Нарваткина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Г И. Тараканова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Барчук Виктория Вячеславовна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Бактериология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86"/>
        <w:gridCol w:w="1853"/>
        <w:gridCol w:w="5170"/>
      </w:tblGrid>
      <w:tr>
        <w:trPr>
          <w:trHeight w:val="283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В. Нарваткина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 В. Загрядская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Т. К. Минеева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558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10379075</wp:posOffset>
              </wp:positionV>
              <wp:extent cx="39370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25pt;width:3.10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13">
    <w:name w:val="Другое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/>
      <w:ind w:left="4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